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301" w:rsidRDefault="008E3E10">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《交通运输法研究》征稿启事</w:t>
      </w:r>
    </w:p>
    <w:p w:rsidR="00D90301" w:rsidRDefault="00D90301">
      <w:pPr>
        <w:spacing w:line="360" w:lineRule="auto"/>
        <w:jc w:val="center"/>
        <w:rPr>
          <w:rFonts w:ascii="宋体" w:eastAsia="宋体" w:hAnsi="宋体" w:cs="宋体"/>
          <w:b/>
          <w:bCs/>
          <w:sz w:val="28"/>
          <w:szCs w:val="28"/>
        </w:rPr>
      </w:pPr>
    </w:p>
    <w:p w:rsidR="00D90301" w:rsidRDefault="008E3E10">
      <w:pPr>
        <w:widowControl/>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《交通运输法研究》是由北京交通大学法学院主办的以综合交通运输法治研究为理念的学术集刊，也是国内法学界首个聚焦于交通运输</w:t>
      </w:r>
      <w:proofErr w:type="gramStart"/>
      <w:r>
        <w:rPr>
          <w:rFonts w:ascii="宋体" w:eastAsia="宋体" w:hAnsi="宋体" w:cs="宋体" w:hint="eastAsia"/>
          <w:color w:val="000000"/>
          <w:sz w:val="24"/>
        </w:rPr>
        <w:t>法领域</w:t>
      </w:r>
      <w:proofErr w:type="gramEnd"/>
      <w:r>
        <w:rPr>
          <w:rFonts w:ascii="宋体" w:eastAsia="宋体" w:hAnsi="宋体" w:cs="宋体" w:hint="eastAsia"/>
          <w:color w:val="000000"/>
          <w:sz w:val="24"/>
        </w:rPr>
        <w:t>的综合性学术集刊。《交通运输法研究》坚持正确的舆论导向和办刊方向，主要刊载交通运输</w:t>
      </w:r>
      <w:proofErr w:type="gramStart"/>
      <w:r>
        <w:rPr>
          <w:rFonts w:ascii="宋体" w:eastAsia="宋体" w:hAnsi="宋体" w:cs="宋体" w:hint="eastAsia"/>
          <w:color w:val="000000"/>
          <w:sz w:val="24"/>
        </w:rPr>
        <w:t>法领域</w:t>
      </w:r>
      <w:proofErr w:type="gramEnd"/>
      <w:r>
        <w:rPr>
          <w:rFonts w:ascii="宋体" w:eastAsia="宋体" w:hAnsi="宋体" w:cs="宋体" w:hint="eastAsia"/>
          <w:color w:val="000000"/>
          <w:sz w:val="24"/>
        </w:rPr>
        <w:t>的新理论、新成果、新实践、新探索，旨在促进国内交通运输法学术交流，推动国内交通运输法理论发展。本刊第1辑现面向社会公开征集学术论文，竭诚欢迎海内外法律学人、实务工作者赐稿，特别欢迎紧扣热点形势、见解独到、具有重要学术价值或具有突出实践意义的交通运输</w:t>
      </w:r>
      <w:proofErr w:type="gramStart"/>
      <w:r>
        <w:rPr>
          <w:rFonts w:ascii="宋体" w:eastAsia="宋体" w:hAnsi="宋体" w:cs="宋体" w:hint="eastAsia"/>
          <w:color w:val="000000"/>
          <w:sz w:val="24"/>
        </w:rPr>
        <w:t>法领域</w:t>
      </w:r>
      <w:proofErr w:type="gramEnd"/>
      <w:r>
        <w:rPr>
          <w:rFonts w:ascii="宋体" w:eastAsia="宋体" w:hAnsi="宋体" w:cs="宋体" w:hint="eastAsia"/>
          <w:color w:val="000000"/>
          <w:sz w:val="24"/>
        </w:rPr>
        <w:t>论文。</w:t>
      </w:r>
    </w:p>
    <w:p w:rsidR="00D90301" w:rsidRDefault="008E3E10">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一、征稿方向</w:t>
      </w:r>
    </w:p>
    <w:p w:rsidR="00D90301" w:rsidRDefault="008E3E10">
      <w:pPr>
        <w:widowControl/>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《交通运输法研究》以综合交通运输法治研究为核心理念，力求打造开放性交通运输</w:t>
      </w:r>
      <w:proofErr w:type="gramStart"/>
      <w:r>
        <w:rPr>
          <w:rFonts w:ascii="宋体" w:eastAsia="宋体" w:hAnsi="宋体" w:cs="宋体" w:hint="eastAsia"/>
          <w:color w:val="000000"/>
          <w:sz w:val="24"/>
        </w:rPr>
        <w:t>法领域</w:t>
      </w:r>
      <w:proofErr w:type="gramEnd"/>
      <w:r>
        <w:rPr>
          <w:rFonts w:ascii="宋体" w:eastAsia="宋体" w:hAnsi="宋体" w:cs="宋体" w:hint="eastAsia"/>
          <w:color w:val="000000"/>
          <w:sz w:val="24"/>
        </w:rPr>
        <w:t>的学术园地，故征稿方向涵盖交通运输法治的</w:t>
      </w:r>
      <w:proofErr w:type="gramStart"/>
      <w:r>
        <w:rPr>
          <w:rFonts w:ascii="宋体" w:eastAsia="宋体" w:hAnsi="宋体" w:cs="宋体" w:hint="eastAsia"/>
          <w:color w:val="000000"/>
          <w:sz w:val="24"/>
        </w:rPr>
        <w:t>全领</w:t>
      </w:r>
      <w:proofErr w:type="gramEnd"/>
      <w:r>
        <w:rPr>
          <w:rFonts w:ascii="宋体" w:eastAsia="宋体" w:hAnsi="宋体" w:cs="宋体" w:hint="eastAsia"/>
          <w:color w:val="000000"/>
          <w:sz w:val="24"/>
        </w:rPr>
        <w:t>域各方面，主要包括但不限于以下方向的内容：交通运输法、铁路法、公路法、航空法、水上运输法、海商法、邮政法、管道运输法；以及涉及交通运输法基础理论、陆上交通法、交通运输安全、交通运输规划、交通行政许可、交通运输经营、交通运输监管、交通运输立法、交通运输执法、外层空间法治、物流法治、智慧交通法治、道路安全法治、国际交通运输法治、“一带一路”法治问题、交通运输新业态法治问题等相关内容。</w:t>
      </w:r>
    </w:p>
    <w:p w:rsidR="00D90301" w:rsidRDefault="008E3E10">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二、来稿要求</w:t>
      </w:r>
    </w:p>
    <w:p w:rsidR="00D90301" w:rsidRDefault="007C4B91" w:rsidP="007C4B91">
      <w:pPr>
        <w:widowControl/>
        <w:tabs>
          <w:tab w:val="left" w:pos="312"/>
        </w:tabs>
        <w:spacing w:line="360" w:lineRule="auto"/>
        <w:ind w:firstLineChars="200" w:firstLine="480"/>
        <w:rPr>
          <w:rFonts w:ascii="宋体" w:eastAsia="宋体" w:hAnsi="宋体" w:cs="宋体"/>
          <w:sz w:val="24"/>
        </w:rPr>
      </w:pPr>
      <w:r>
        <w:rPr>
          <w:rFonts w:ascii="宋体" w:eastAsia="宋体" w:hAnsi="宋体" w:cs="宋体" w:hint="eastAsia"/>
          <w:color w:val="000000"/>
          <w:sz w:val="24"/>
        </w:rPr>
        <w:t>1、</w:t>
      </w:r>
      <w:r w:rsidR="008E3E10">
        <w:rPr>
          <w:rFonts w:ascii="宋体" w:eastAsia="宋体" w:hAnsi="宋体" w:cs="宋体" w:hint="eastAsia"/>
          <w:color w:val="000000"/>
          <w:sz w:val="24"/>
        </w:rPr>
        <w:t>本刊接受的稿件篇幅原则上不少于1万字，不超过3万字，以1万字-2万字为宜，截稿日期为2022年3月31日。</w:t>
      </w:r>
    </w:p>
    <w:p w:rsidR="00D90301" w:rsidRDefault="007C4B91" w:rsidP="007C4B91">
      <w:pPr>
        <w:widowControl/>
        <w:tabs>
          <w:tab w:val="left" w:pos="312"/>
        </w:tabs>
        <w:spacing w:line="360" w:lineRule="auto"/>
        <w:ind w:firstLineChars="200" w:firstLine="480"/>
        <w:rPr>
          <w:rFonts w:ascii="宋体" w:eastAsia="宋体" w:hAnsi="宋体" w:cs="宋体"/>
          <w:sz w:val="24"/>
        </w:rPr>
      </w:pPr>
      <w:r>
        <w:rPr>
          <w:rFonts w:ascii="宋体" w:eastAsia="宋体" w:hAnsi="宋体" w:cs="宋体"/>
          <w:color w:val="000000"/>
          <w:sz w:val="24"/>
        </w:rPr>
        <w:t>2</w:t>
      </w:r>
      <w:r>
        <w:rPr>
          <w:rFonts w:ascii="宋体" w:eastAsia="宋体" w:hAnsi="宋体" w:cs="宋体" w:hint="eastAsia"/>
          <w:color w:val="000000"/>
          <w:sz w:val="24"/>
        </w:rPr>
        <w:t>、</w:t>
      </w:r>
      <w:r w:rsidR="008E3E10">
        <w:rPr>
          <w:rFonts w:ascii="宋体" w:eastAsia="宋体" w:hAnsi="宋体" w:cs="宋体" w:hint="eastAsia"/>
          <w:color w:val="000000"/>
          <w:sz w:val="24"/>
        </w:rPr>
        <w:t>本刊</w:t>
      </w:r>
      <w:r w:rsidR="008E3E10">
        <w:rPr>
          <w:rFonts w:ascii="宋体" w:eastAsia="宋体" w:hAnsi="宋体" w:cs="宋体" w:hint="eastAsia"/>
          <w:sz w:val="24"/>
        </w:rPr>
        <w:t>可以接受学术论文、译文、法条评注、案例释评等形式的稿件。</w:t>
      </w:r>
    </w:p>
    <w:p w:rsidR="00D90301" w:rsidRDefault="007C4B91" w:rsidP="007C4B91">
      <w:pPr>
        <w:widowControl/>
        <w:tabs>
          <w:tab w:val="left" w:pos="312"/>
        </w:tabs>
        <w:spacing w:line="360" w:lineRule="auto"/>
        <w:ind w:firstLineChars="200" w:firstLine="480"/>
        <w:rPr>
          <w:rFonts w:ascii="宋体" w:eastAsia="宋体" w:hAnsi="宋体" w:cs="宋体"/>
          <w:color w:val="000000"/>
          <w:sz w:val="24"/>
        </w:rPr>
      </w:pPr>
      <w:r>
        <w:rPr>
          <w:rFonts w:ascii="宋体" w:eastAsia="宋体" w:hAnsi="宋体" w:cs="宋体"/>
          <w:color w:val="000000"/>
          <w:sz w:val="24"/>
        </w:rPr>
        <w:t>3</w:t>
      </w:r>
      <w:r>
        <w:rPr>
          <w:rFonts w:ascii="宋体" w:eastAsia="宋体" w:hAnsi="宋体" w:cs="宋体" w:hint="eastAsia"/>
          <w:color w:val="000000"/>
          <w:sz w:val="24"/>
        </w:rPr>
        <w:t>、</w:t>
      </w:r>
      <w:r w:rsidR="008E3E10">
        <w:rPr>
          <w:rFonts w:ascii="宋体" w:eastAsia="宋体" w:hAnsi="宋体" w:cs="宋体" w:hint="eastAsia"/>
          <w:color w:val="000000"/>
          <w:sz w:val="24"/>
        </w:rPr>
        <w:t>本刊可以接受独著作品与合作作品，也可接受博士研究生、硕士研究生的优秀论文。</w:t>
      </w:r>
    </w:p>
    <w:p w:rsidR="00D90301" w:rsidRDefault="007C4B91" w:rsidP="007C4B91">
      <w:pPr>
        <w:widowControl/>
        <w:tabs>
          <w:tab w:val="left" w:pos="312"/>
        </w:tabs>
        <w:spacing w:line="360" w:lineRule="auto"/>
        <w:ind w:firstLineChars="200" w:firstLine="480"/>
        <w:rPr>
          <w:rFonts w:ascii="宋体" w:eastAsia="宋体" w:hAnsi="宋体" w:cs="宋体"/>
          <w:color w:val="000000"/>
          <w:sz w:val="24"/>
        </w:rPr>
      </w:pPr>
      <w:r>
        <w:rPr>
          <w:rFonts w:ascii="宋体" w:eastAsia="宋体" w:hAnsi="宋体" w:cs="宋体"/>
          <w:color w:val="000000"/>
          <w:sz w:val="24"/>
        </w:rPr>
        <w:t>4</w:t>
      </w:r>
      <w:r>
        <w:rPr>
          <w:rFonts w:ascii="宋体" w:eastAsia="宋体" w:hAnsi="宋体" w:cs="宋体" w:hint="eastAsia"/>
          <w:color w:val="000000"/>
          <w:sz w:val="24"/>
        </w:rPr>
        <w:t>、</w:t>
      </w:r>
      <w:r w:rsidR="008E3E10">
        <w:rPr>
          <w:rFonts w:ascii="宋体" w:eastAsia="宋体" w:hAnsi="宋体" w:cs="宋体" w:hint="eastAsia"/>
          <w:color w:val="000000"/>
          <w:sz w:val="24"/>
        </w:rPr>
        <w:t>作者应保证对其作品具有著作权并不侵犯其他个人或组织的著作权，来稿须为未经发表的原创作品，即须在同一语言下未事先在任何纸面和电子媒介上发表。</w:t>
      </w:r>
    </w:p>
    <w:p w:rsidR="00D90301" w:rsidRDefault="007C4B91" w:rsidP="007C4B91">
      <w:pPr>
        <w:widowControl/>
        <w:tabs>
          <w:tab w:val="left" w:pos="312"/>
        </w:tabs>
        <w:spacing w:line="360" w:lineRule="auto"/>
        <w:ind w:firstLineChars="200" w:firstLine="480"/>
        <w:rPr>
          <w:rFonts w:ascii="宋体" w:eastAsia="宋体" w:hAnsi="宋体" w:cs="宋体"/>
          <w:color w:val="000000"/>
          <w:sz w:val="24"/>
        </w:rPr>
      </w:pPr>
      <w:r>
        <w:rPr>
          <w:rFonts w:ascii="宋体" w:eastAsia="宋体" w:hAnsi="宋体" w:cs="宋体"/>
          <w:color w:val="000000"/>
          <w:sz w:val="24"/>
        </w:rPr>
        <w:t>5</w:t>
      </w:r>
      <w:r>
        <w:rPr>
          <w:rFonts w:ascii="宋体" w:eastAsia="宋体" w:hAnsi="宋体" w:cs="宋体" w:hint="eastAsia"/>
          <w:color w:val="000000"/>
          <w:sz w:val="24"/>
        </w:rPr>
        <w:t>、</w:t>
      </w:r>
      <w:r w:rsidR="008E3E10">
        <w:rPr>
          <w:rFonts w:ascii="宋体" w:eastAsia="宋体" w:hAnsi="宋体" w:cs="宋体" w:hint="eastAsia"/>
          <w:color w:val="000000"/>
          <w:sz w:val="24"/>
        </w:rPr>
        <w:t>来稿编辑体例请参照最新版《法学引注手册》或《交通运输法研究》来稿须知中的注释体例要求。</w:t>
      </w:r>
    </w:p>
    <w:p w:rsidR="00D90301" w:rsidRDefault="007C4B91" w:rsidP="007C4B91">
      <w:pPr>
        <w:widowControl/>
        <w:tabs>
          <w:tab w:val="left" w:pos="312"/>
        </w:tabs>
        <w:spacing w:line="360" w:lineRule="auto"/>
        <w:ind w:firstLineChars="200" w:firstLine="480"/>
        <w:rPr>
          <w:rFonts w:ascii="宋体" w:eastAsia="宋体" w:hAnsi="宋体" w:cs="宋体"/>
          <w:color w:val="000000"/>
          <w:sz w:val="24"/>
        </w:rPr>
      </w:pPr>
      <w:r>
        <w:rPr>
          <w:rFonts w:ascii="宋体" w:eastAsia="宋体" w:hAnsi="宋体" w:cs="宋体"/>
          <w:color w:val="000000"/>
          <w:sz w:val="24"/>
        </w:rPr>
        <w:lastRenderedPageBreak/>
        <w:t>6</w:t>
      </w:r>
      <w:r>
        <w:rPr>
          <w:rFonts w:ascii="宋体" w:eastAsia="宋体" w:hAnsi="宋体" w:cs="宋体" w:hint="eastAsia"/>
          <w:color w:val="000000"/>
          <w:sz w:val="24"/>
        </w:rPr>
        <w:t>、</w:t>
      </w:r>
      <w:r w:rsidR="008E3E10">
        <w:rPr>
          <w:rFonts w:ascii="宋体" w:eastAsia="宋体" w:hAnsi="宋体" w:cs="宋体" w:hint="eastAsia"/>
          <w:color w:val="000000"/>
          <w:sz w:val="24"/>
        </w:rPr>
        <w:t>本刊编辑部保留对来稿进行技术性加工处理的权利，文责悉由作者自负，来稿应严格遵守学术规范，并严禁抄袭、剽窃等侵犯知识产权的情况出现。</w:t>
      </w:r>
    </w:p>
    <w:p w:rsidR="00D90301" w:rsidRDefault="007C4B91" w:rsidP="007C4B91">
      <w:pPr>
        <w:widowControl/>
        <w:tabs>
          <w:tab w:val="left" w:pos="312"/>
        </w:tabs>
        <w:spacing w:line="360" w:lineRule="auto"/>
        <w:ind w:firstLineChars="200" w:firstLine="480"/>
        <w:rPr>
          <w:rFonts w:ascii="宋体" w:eastAsia="宋体" w:hAnsi="宋体" w:cs="宋体"/>
          <w:color w:val="000000"/>
          <w:sz w:val="24"/>
        </w:rPr>
      </w:pPr>
      <w:r>
        <w:rPr>
          <w:rFonts w:ascii="宋体" w:eastAsia="宋体" w:hAnsi="宋体" w:cs="宋体"/>
          <w:color w:val="000000"/>
          <w:sz w:val="24"/>
        </w:rPr>
        <w:t>7</w:t>
      </w:r>
      <w:r>
        <w:rPr>
          <w:rFonts w:ascii="宋体" w:eastAsia="宋体" w:hAnsi="宋体" w:cs="宋体" w:hint="eastAsia"/>
          <w:color w:val="000000"/>
          <w:sz w:val="24"/>
        </w:rPr>
        <w:t>、</w:t>
      </w:r>
      <w:proofErr w:type="gramStart"/>
      <w:r w:rsidR="008E3E10">
        <w:rPr>
          <w:rFonts w:ascii="宋体" w:eastAsia="宋体" w:hAnsi="宋体" w:cs="宋体" w:hint="eastAsia"/>
          <w:color w:val="000000"/>
          <w:sz w:val="24"/>
        </w:rPr>
        <w:t>本刊对</w:t>
      </w:r>
      <w:proofErr w:type="gramEnd"/>
      <w:r w:rsidR="008E3E10">
        <w:rPr>
          <w:rFonts w:ascii="宋体" w:eastAsia="宋体" w:hAnsi="宋体" w:cs="宋体" w:hint="eastAsia"/>
          <w:color w:val="000000"/>
          <w:sz w:val="24"/>
        </w:rPr>
        <w:t>所有刊载文章酌付稿酬，并依法享有版权。凡向本刊投稿的稿件，即视为作者同意授权本刊其作品包括但不限于电子版信息网络传播权、无线增值业务权等权利，授权</w:t>
      </w:r>
      <w:proofErr w:type="gramStart"/>
      <w:r w:rsidR="008E3E10">
        <w:rPr>
          <w:rFonts w:ascii="宋体" w:eastAsia="宋体" w:hAnsi="宋体" w:cs="宋体" w:hint="eastAsia"/>
          <w:color w:val="000000"/>
          <w:sz w:val="24"/>
        </w:rPr>
        <w:t>本刊可</w:t>
      </w:r>
      <w:proofErr w:type="gramEnd"/>
      <w:r w:rsidR="008E3E10">
        <w:rPr>
          <w:rFonts w:ascii="宋体" w:eastAsia="宋体" w:hAnsi="宋体" w:cs="宋体" w:hint="eastAsia"/>
          <w:color w:val="000000"/>
          <w:sz w:val="24"/>
        </w:rPr>
        <w:t>授予合作单位再使用、授予相关数据库收录之权利，作者前述相关的著作权使用费将由本刊编辑部在本刊稿酬内一次性给付。若作者不同意前述授权的，请在来稿时书面声明，以便</w:t>
      </w:r>
      <w:proofErr w:type="gramStart"/>
      <w:r w:rsidR="008E3E10">
        <w:rPr>
          <w:rFonts w:ascii="宋体" w:eastAsia="宋体" w:hAnsi="宋体" w:cs="宋体" w:hint="eastAsia"/>
          <w:color w:val="000000"/>
          <w:sz w:val="24"/>
        </w:rPr>
        <w:t>本刊做</w:t>
      </w:r>
      <w:proofErr w:type="gramEnd"/>
      <w:r w:rsidR="008E3E10">
        <w:rPr>
          <w:rFonts w:ascii="宋体" w:eastAsia="宋体" w:hAnsi="宋体" w:cs="宋体" w:hint="eastAsia"/>
          <w:color w:val="000000"/>
          <w:sz w:val="24"/>
        </w:rPr>
        <w:t>适当处理；作者未书面声明的，视为同意本刊编辑部的前述安排。</w:t>
      </w:r>
    </w:p>
    <w:p w:rsidR="00D90301" w:rsidRDefault="007C4B91" w:rsidP="007C4B91">
      <w:pPr>
        <w:widowControl/>
        <w:tabs>
          <w:tab w:val="left" w:pos="312"/>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8、</w:t>
      </w:r>
      <w:r w:rsidR="008E3E10">
        <w:rPr>
          <w:rFonts w:ascii="宋体" w:eastAsia="宋体" w:hAnsi="宋体" w:cs="宋体" w:hint="eastAsia"/>
          <w:color w:val="000000"/>
          <w:sz w:val="24"/>
        </w:rPr>
        <w:t>本刊所刊载文章的观点仅代表作者个人观点，不代表本编辑部和主办单位的观点。</w:t>
      </w:r>
    </w:p>
    <w:p w:rsidR="00D90301" w:rsidRDefault="008E3E10">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三、投稿方式</w:t>
      </w:r>
    </w:p>
    <w:p w:rsidR="00D90301" w:rsidRDefault="008E3E10">
      <w:pPr>
        <w:widowControl/>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来稿请将文章电子版（word版本）以电子邮件形式发送至本刊编辑部邮箱：</w:t>
      </w:r>
      <w:hyperlink r:id="rId8" w:history="1">
        <w:r>
          <w:rPr>
            <w:rFonts w:ascii="宋体" w:eastAsia="宋体" w:hAnsi="宋体" w:cs="宋体" w:hint="eastAsia"/>
            <w:color w:val="0000FF"/>
            <w:sz w:val="24"/>
            <w:u w:val="single"/>
          </w:rPr>
          <w:t>jtysfyj@bjtu.edu.cn</w:t>
        </w:r>
        <w:r>
          <w:rPr>
            <w:rFonts w:ascii="宋体" w:eastAsia="宋体" w:hAnsi="宋体" w:cs="宋体" w:hint="eastAsia"/>
            <w:color w:val="000000"/>
            <w:sz w:val="24"/>
          </w:rPr>
          <w:t>。</w:t>
        </w:r>
      </w:hyperlink>
    </w:p>
    <w:p w:rsidR="00D90301" w:rsidRDefault="008E3E10">
      <w:pPr>
        <w:widowControl/>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来稿格式要求及注释体例详见附件（《交通运输法研究》来稿须知）。</w:t>
      </w:r>
    </w:p>
    <w:p w:rsidR="00D90301" w:rsidRDefault="008E3E10">
      <w:pPr>
        <w:widowControl/>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《交通运输法研究》编辑部采用双向匿名审稿制，审稿期限一般为60个法定工作日。逾期未收到编辑部</w:t>
      </w:r>
      <w:proofErr w:type="gramStart"/>
      <w:r>
        <w:rPr>
          <w:rFonts w:ascii="宋体" w:eastAsia="宋体" w:hAnsi="宋体" w:cs="宋体" w:hint="eastAsia"/>
          <w:color w:val="000000"/>
          <w:sz w:val="24"/>
        </w:rPr>
        <w:t>录稿通知</w:t>
      </w:r>
      <w:proofErr w:type="gramEnd"/>
      <w:r>
        <w:rPr>
          <w:rFonts w:ascii="宋体" w:eastAsia="宋体" w:hAnsi="宋体" w:cs="宋体" w:hint="eastAsia"/>
          <w:color w:val="000000"/>
          <w:sz w:val="24"/>
        </w:rPr>
        <w:t>的，作者可另行处理稿件。</w:t>
      </w:r>
    </w:p>
    <w:p w:rsidR="00D90301" w:rsidRDefault="00D90301">
      <w:pPr>
        <w:widowControl/>
        <w:spacing w:line="360" w:lineRule="auto"/>
        <w:ind w:firstLineChars="200" w:firstLine="480"/>
        <w:rPr>
          <w:rFonts w:ascii="宋体" w:eastAsia="宋体" w:hAnsi="宋体" w:cs="宋体"/>
          <w:color w:val="000000"/>
          <w:sz w:val="24"/>
        </w:rPr>
      </w:pPr>
    </w:p>
    <w:p w:rsidR="00D90301" w:rsidRDefault="008E3E10">
      <w:pPr>
        <w:widowControl/>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竭诚欢迎各位法律学人和实务工作者向本刊投稿，感谢您的支持！</w:t>
      </w:r>
    </w:p>
    <w:p w:rsidR="00D90301" w:rsidRDefault="00D90301">
      <w:pPr>
        <w:widowControl/>
        <w:spacing w:line="360" w:lineRule="auto"/>
        <w:rPr>
          <w:rFonts w:ascii="宋体" w:eastAsia="宋体" w:hAnsi="宋体" w:cs="宋体"/>
          <w:color w:val="000000"/>
          <w:sz w:val="24"/>
        </w:rPr>
      </w:pPr>
    </w:p>
    <w:p w:rsidR="00D90301" w:rsidRDefault="00D90301">
      <w:pPr>
        <w:widowControl/>
        <w:spacing w:line="360" w:lineRule="auto"/>
        <w:ind w:firstLineChars="200" w:firstLine="480"/>
        <w:rPr>
          <w:rFonts w:ascii="宋体" w:eastAsia="宋体" w:hAnsi="宋体" w:cs="宋体"/>
          <w:color w:val="000000"/>
          <w:sz w:val="24"/>
        </w:rPr>
      </w:pPr>
    </w:p>
    <w:p w:rsidR="00D90301" w:rsidRDefault="008E3E10">
      <w:pPr>
        <w:widowControl/>
        <w:spacing w:line="360" w:lineRule="auto"/>
        <w:ind w:firstLineChars="200" w:firstLine="480"/>
        <w:jc w:val="right"/>
        <w:rPr>
          <w:rFonts w:ascii="宋体" w:eastAsia="宋体" w:hAnsi="宋体" w:cs="宋体"/>
          <w:color w:val="000000"/>
          <w:sz w:val="24"/>
        </w:rPr>
      </w:pPr>
      <w:r>
        <w:rPr>
          <w:rFonts w:ascii="宋体" w:eastAsia="宋体" w:hAnsi="宋体" w:cs="宋体" w:hint="eastAsia"/>
          <w:color w:val="000000"/>
          <w:sz w:val="24"/>
        </w:rPr>
        <w:t>北京交通大学法学院</w:t>
      </w:r>
    </w:p>
    <w:p w:rsidR="00D90301" w:rsidRDefault="008E3E10">
      <w:pPr>
        <w:widowControl/>
        <w:spacing w:line="360" w:lineRule="auto"/>
        <w:ind w:firstLineChars="200" w:firstLine="480"/>
        <w:jc w:val="right"/>
        <w:rPr>
          <w:rFonts w:ascii="宋体" w:eastAsia="宋体" w:hAnsi="宋体" w:cs="宋体"/>
          <w:color w:val="000000"/>
          <w:sz w:val="24"/>
        </w:rPr>
      </w:pPr>
      <w:r>
        <w:rPr>
          <w:rFonts w:ascii="宋体" w:eastAsia="宋体" w:hAnsi="宋体" w:cs="宋体" w:hint="eastAsia"/>
          <w:color w:val="000000"/>
          <w:sz w:val="24"/>
        </w:rPr>
        <w:t>《交通运输法研究》编辑部</w:t>
      </w:r>
    </w:p>
    <w:p w:rsidR="00D90301" w:rsidRDefault="008E3E10">
      <w:pPr>
        <w:widowControl/>
        <w:spacing w:line="360" w:lineRule="auto"/>
        <w:ind w:firstLineChars="200" w:firstLine="480"/>
        <w:jc w:val="right"/>
        <w:rPr>
          <w:rFonts w:ascii="宋体" w:eastAsia="宋体" w:hAnsi="宋体" w:cs="宋体"/>
          <w:color w:val="000000"/>
          <w:sz w:val="24"/>
        </w:rPr>
      </w:pPr>
      <w:r>
        <w:rPr>
          <w:rFonts w:ascii="宋体" w:eastAsia="宋体" w:hAnsi="宋体" w:cs="宋体" w:hint="eastAsia"/>
          <w:color w:val="000000"/>
          <w:sz w:val="24"/>
        </w:rPr>
        <w:t>2022年1月12日</w:t>
      </w:r>
    </w:p>
    <w:p w:rsidR="00D90301" w:rsidRDefault="008E3E10">
      <w:pPr>
        <w:rPr>
          <w:rFonts w:ascii="宋体" w:eastAsia="宋体" w:hAnsi="宋体" w:cs="宋体"/>
          <w:color w:val="000000"/>
          <w:sz w:val="24"/>
        </w:rPr>
      </w:pPr>
      <w:r>
        <w:rPr>
          <w:rFonts w:ascii="宋体" w:eastAsia="宋体" w:hAnsi="宋体" w:cs="宋体" w:hint="eastAsia"/>
          <w:color w:val="000000"/>
          <w:sz w:val="24"/>
        </w:rPr>
        <w:br w:type="page"/>
      </w:r>
    </w:p>
    <w:p w:rsidR="00D90301" w:rsidRDefault="008E3E10">
      <w:pPr>
        <w:spacing w:line="360" w:lineRule="auto"/>
        <w:rPr>
          <w:rFonts w:ascii="宋体" w:eastAsia="宋体" w:hAnsi="宋体" w:cs="宋体"/>
          <w:b/>
          <w:bCs/>
          <w:sz w:val="28"/>
          <w:szCs w:val="28"/>
        </w:rPr>
      </w:pPr>
      <w:r>
        <w:rPr>
          <w:rFonts w:ascii="宋体" w:eastAsia="宋体" w:hAnsi="宋体" w:cs="宋体" w:hint="eastAsia"/>
          <w:b/>
          <w:bCs/>
          <w:sz w:val="28"/>
          <w:szCs w:val="28"/>
        </w:rPr>
        <w:lastRenderedPageBreak/>
        <w:t>附件：</w:t>
      </w:r>
    </w:p>
    <w:p w:rsidR="00D90301" w:rsidRDefault="008E3E10">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《交通运输法研究》来稿须知</w:t>
      </w:r>
    </w:p>
    <w:p w:rsidR="00D90301" w:rsidRDefault="00D90301">
      <w:pPr>
        <w:spacing w:line="360" w:lineRule="auto"/>
        <w:rPr>
          <w:rFonts w:asciiTheme="minorEastAsia" w:hAnsiTheme="minorEastAsia"/>
          <w:b/>
          <w:sz w:val="28"/>
          <w:u w:val="single"/>
        </w:rPr>
      </w:pPr>
    </w:p>
    <w:p w:rsidR="00D90301" w:rsidRDefault="008E3E10">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一、来稿格式</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标题部分：宋体，四号，加粗，居中</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作者部分：作者姓名楷体，小四号，居中，其后使用“*”标记脚注</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摘要部分：楷体，小四号；“摘要：”加粗，不要使用“文章摘要”等其他字眼</w:t>
      </w:r>
      <w:r>
        <w:rPr>
          <w:rFonts w:asciiTheme="minorEastAsia" w:hAnsiTheme="minorEastAsia"/>
          <w:sz w:val="24"/>
        </w:rPr>
        <w:t>，不需要单独成行，放在段首即可；</w:t>
      </w:r>
      <w:r>
        <w:rPr>
          <w:rFonts w:asciiTheme="minorEastAsia" w:hAnsiTheme="minorEastAsia" w:hint="eastAsia"/>
          <w:sz w:val="24"/>
        </w:rPr>
        <w:t>首行缩进两字符</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关键词部分：楷体，小四号；“关键词：”加粗，词与词以空格隔开</w:t>
      </w:r>
      <w:r>
        <w:rPr>
          <w:rFonts w:asciiTheme="minorEastAsia" w:hAnsiTheme="minorEastAsia"/>
          <w:sz w:val="24"/>
        </w:rPr>
        <w:t>；</w:t>
      </w:r>
      <w:r>
        <w:rPr>
          <w:rFonts w:asciiTheme="minorEastAsia" w:hAnsiTheme="minorEastAsia" w:hint="eastAsia"/>
          <w:sz w:val="24"/>
        </w:rPr>
        <w:t>首行缩进两字符</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正文部分：宋体，小四号，首行缩进两字符；一级标题宋体，小四号，加粗，居中</w:t>
      </w:r>
      <w:proofErr w:type="gramStart"/>
      <w:r>
        <w:rPr>
          <w:rFonts w:asciiTheme="minorEastAsia" w:hAnsiTheme="minorEastAsia" w:hint="eastAsia"/>
          <w:sz w:val="24"/>
        </w:rPr>
        <w:t>不</w:t>
      </w:r>
      <w:proofErr w:type="gramEnd"/>
      <w:r>
        <w:rPr>
          <w:rFonts w:asciiTheme="minorEastAsia" w:hAnsiTheme="minorEastAsia" w:hint="eastAsia"/>
          <w:sz w:val="24"/>
        </w:rPr>
        <w:t>首行缩进；次级标题楷体，小四号，首行缩进两个字符</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文章末尾：责编署名并加括号，换行标记截稿日期，楷体，小四号，靠右对齐，示例如下：</w:t>
      </w:r>
    </w:p>
    <w:p w:rsidR="00D90301" w:rsidRDefault="008E3E10">
      <w:pPr>
        <w:spacing w:line="360" w:lineRule="auto"/>
        <w:jc w:val="right"/>
        <w:rPr>
          <w:rFonts w:ascii="楷体" w:eastAsia="楷体" w:hAnsi="楷体"/>
          <w:sz w:val="24"/>
        </w:rPr>
      </w:pPr>
      <w:r>
        <w:rPr>
          <w:rFonts w:ascii="楷体" w:eastAsia="楷体" w:hAnsi="楷体" w:hint="eastAsia"/>
          <w:sz w:val="24"/>
        </w:rPr>
        <w:t>（责任编辑：XXX）</w:t>
      </w:r>
    </w:p>
    <w:p w:rsidR="00D90301" w:rsidRDefault="008E3E10">
      <w:pPr>
        <w:spacing w:line="360" w:lineRule="auto"/>
        <w:jc w:val="right"/>
        <w:rPr>
          <w:rFonts w:asciiTheme="minorEastAsia" w:hAnsiTheme="minorEastAsia"/>
          <w:sz w:val="24"/>
        </w:rPr>
      </w:pPr>
      <w:r>
        <w:rPr>
          <w:rFonts w:ascii="楷体" w:eastAsia="楷体" w:hAnsi="楷体" w:hint="eastAsia"/>
          <w:sz w:val="24"/>
        </w:rPr>
        <w:t>截稿日期：2022年XX月XX日</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文章最后另附英文部分：</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标题：</w:t>
      </w:r>
      <w:r>
        <w:rPr>
          <w:rFonts w:ascii="Times New Roman" w:hAnsi="Times New Roman" w:cs="Times New Roman" w:hint="eastAsia"/>
          <w:sz w:val="24"/>
        </w:rPr>
        <w:t>Times New Roman</w:t>
      </w:r>
      <w:r>
        <w:rPr>
          <w:rFonts w:asciiTheme="minorEastAsia" w:hAnsiTheme="minorEastAsia" w:hint="eastAsia"/>
          <w:sz w:val="24"/>
        </w:rPr>
        <w:t>，四号，加粗，居中</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作者：</w:t>
      </w:r>
      <w:r>
        <w:rPr>
          <w:rFonts w:ascii="Times New Roman" w:hAnsi="Times New Roman" w:cs="Times New Roman" w:hint="eastAsia"/>
          <w:sz w:val="24"/>
        </w:rPr>
        <w:t>Times New Roman</w:t>
      </w:r>
      <w:r>
        <w:rPr>
          <w:rFonts w:asciiTheme="minorEastAsia" w:hAnsiTheme="minorEastAsia" w:hint="eastAsia"/>
          <w:sz w:val="24"/>
        </w:rPr>
        <w:t>，小四号，居中</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摘要：</w:t>
      </w:r>
      <w:r>
        <w:rPr>
          <w:rFonts w:ascii="Times New Roman" w:hAnsi="Times New Roman" w:cs="Times New Roman"/>
          <w:sz w:val="24"/>
        </w:rPr>
        <w:t>Times New Roman</w:t>
      </w:r>
      <w:r>
        <w:rPr>
          <w:rFonts w:asciiTheme="minorEastAsia" w:hAnsiTheme="minorEastAsia" w:hint="eastAsia"/>
          <w:sz w:val="24"/>
        </w:rPr>
        <w:t>，小四号；“</w:t>
      </w:r>
      <w:r>
        <w:rPr>
          <w:rFonts w:ascii="Times New Roman" w:hAnsi="Times New Roman" w:cs="Times New Roman"/>
          <w:sz w:val="24"/>
        </w:rPr>
        <w:t xml:space="preserve">Abstract: </w:t>
      </w:r>
      <w:r>
        <w:rPr>
          <w:rFonts w:asciiTheme="minorEastAsia" w:hAnsiTheme="minorEastAsia" w:hint="eastAsia"/>
          <w:sz w:val="24"/>
        </w:rPr>
        <w:t>”加粗</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关键词：</w:t>
      </w:r>
      <w:r>
        <w:rPr>
          <w:rFonts w:ascii="Times New Roman" w:hAnsi="Times New Roman" w:cs="Times New Roman"/>
          <w:sz w:val="24"/>
        </w:rPr>
        <w:t>Times New Roman</w:t>
      </w:r>
      <w:r>
        <w:rPr>
          <w:rFonts w:asciiTheme="minorEastAsia" w:hAnsiTheme="minorEastAsia" w:hint="eastAsia"/>
          <w:sz w:val="24"/>
        </w:rPr>
        <w:t>，小四号；“</w:t>
      </w:r>
      <w:r>
        <w:rPr>
          <w:rFonts w:ascii="Times New Roman" w:hAnsi="Times New Roman" w:cs="Times New Roman"/>
          <w:sz w:val="24"/>
        </w:rPr>
        <w:t xml:space="preserve">Keywords: </w:t>
      </w:r>
      <w:r>
        <w:rPr>
          <w:rFonts w:asciiTheme="minorEastAsia" w:hAnsiTheme="minorEastAsia" w:hint="eastAsia"/>
          <w:sz w:val="24"/>
        </w:rPr>
        <w:t>”加粗，词与词以英文逗号及空格隔开</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注意：以上部分均使用1.5倍行距</w:t>
      </w:r>
    </w:p>
    <w:p w:rsidR="00D90301" w:rsidRDefault="008E3E10">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二、稿件内容</w:t>
      </w:r>
    </w:p>
    <w:p w:rsidR="00D90301" w:rsidRDefault="008E3E10">
      <w:pPr>
        <w:spacing w:line="360" w:lineRule="auto"/>
        <w:ind w:firstLineChars="200" w:firstLine="480"/>
        <w:rPr>
          <w:rFonts w:asciiTheme="minorEastAsia" w:hAnsiTheme="minorEastAsia"/>
          <w:sz w:val="24"/>
        </w:rPr>
      </w:pPr>
      <w:r>
        <w:rPr>
          <w:rFonts w:asciiTheme="minorEastAsia" w:hAnsiTheme="minorEastAsia" w:hint="eastAsia"/>
          <w:sz w:val="24"/>
        </w:rPr>
        <w:t>法律法规等文件：第一次出现时使用全称，并在全称后用括号标注“以下简称为XXXX”；第二次开始使用简称。</w:t>
      </w:r>
    </w:p>
    <w:p w:rsidR="00D90301" w:rsidRDefault="008E3E10">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三、注释格式</w:t>
      </w:r>
    </w:p>
    <w:p w:rsidR="00D90301" w:rsidRDefault="00EC13C4" w:rsidP="00EC13C4">
      <w:pPr>
        <w:spacing w:line="360" w:lineRule="auto"/>
        <w:ind w:firstLineChars="200" w:firstLine="480"/>
        <w:rPr>
          <w:color w:val="000000"/>
          <w:sz w:val="24"/>
        </w:rPr>
      </w:pPr>
      <w:r>
        <w:rPr>
          <w:rFonts w:hint="eastAsia"/>
          <w:color w:val="000000"/>
          <w:sz w:val="24"/>
        </w:rPr>
        <w:t>1</w:t>
      </w:r>
      <w:r>
        <w:rPr>
          <w:rFonts w:hint="eastAsia"/>
          <w:color w:val="000000"/>
          <w:sz w:val="24"/>
        </w:rPr>
        <w:t>．</w:t>
      </w:r>
      <w:r w:rsidR="008E3E10">
        <w:rPr>
          <w:rFonts w:hint="eastAsia"/>
          <w:color w:val="000000"/>
          <w:sz w:val="24"/>
        </w:rPr>
        <w:t>采用页下注（脚注），全文连续编号。</w:t>
      </w:r>
    </w:p>
    <w:p w:rsidR="00D90301" w:rsidRDefault="00EC13C4" w:rsidP="00EC13C4">
      <w:pPr>
        <w:spacing w:line="360" w:lineRule="auto"/>
        <w:ind w:firstLineChars="200" w:firstLine="480"/>
        <w:rPr>
          <w:color w:val="000000"/>
          <w:sz w:val="24"/>
        </w:rPr>
      </w:pPr>
      <w:r>
        <w:rPr>
          <w:color w:val="000000"/>
          <w:sz w:val="24"/>
        </w:rPr>
        <w:lastRenderedPageBreak/>
        <w:t>2</w:t>
      </w:r>
      <w:r>
        <w:rPr>
          <w:rFonts w:hint="eastAsia"/>
          <w:color w:val="000000"/>
          <w:sz w:val="24"/>
        </w:rPr>
        <w:t>．</w:t>
      </w:r>
      <w:r w:rsidR="008E3E10">
        <w:rPr>
          <w:rFonts w:hint="eastAsia"/>
          <w:color w:val="000000"/>
          <w:sz w:val="24"/>
        </w:rPr>
        <w:t>一般情况下，引用外文文献的</w:t>
      </w:r>
      <w:proofErr w:type="gramStart"/>
      <w:r w:rsidR="008E3E10">
        <w:rPr>
          <w:rFonts w:hint="eastAsia"/>
          <w:color w:val="000000"/>
          <w:sz w:val="24"/>
        </w:rPr>
        <w:t>注释仍</w:t>
      </w:r>
      <w:proofErr w:type="gramEnd"/>
      <w:r w:rsidR="008E3E10">
        <w:rPr>
          <w:rFonts w:hint="eastAsia"/>
          <w:color w:val="000000"/>
          <w:sz w:val="24"/>
        </w:rPr>
        <w:t>从原文，无须另行译为中文释出。</w:t>
      </w:r>
    </w:p>
    <w:p w:rsidR="00D90301" w:rsidRDefault="00EC13C4" w:rsidP="00EC13C4">
      <w:pPr>
        <w:spacing w:line="360" w:lineRule="auto"/>
        <w:ind w:firstLineChars="200" w:firstLine="480"/>
        <w:rPr>
          <w:color w:val="000000"/>
          <w:sz w:val="24"/>
        </w:rPr>
      </w:pPr>
      <w:r>
        <w:rPr>
          <w:rFonts w:hint="eastAsia"/>
          <w:color w:val="000000"/>
          <w:sz w:val="24"/>
        </w:rPr>
        <w:t>3</w:t>
      </w:r>
      <w:r>
        <w:rPr>
          <w:color w:val="000000"/>
          <w:sz w:val="24"/>
        </w:rPr>
        <w:t>.</w:t>
      </w:r>
      <w:r w:rsidR="008E3E10">
        <w:rPr>
          <w:rFonts w:hint="eastAsia"/>
          <w:color w:val="000000"/>
          <w:sz w:val="24"/>
        </w:rPr>
        <w:t>所引资料及其注释务求真实、准确、规范。</w:t>
      </w:r>
    </w:p>
    <w:p w:rsidR="00D90301" w:rsidRDefault="00EC13C4" w:rsidP="00EC13C4">
      <w:pPr>
        <w:spacing w:line="360" w:lineRule="auto"/>
        <w:ind w:firstLineChars="200" w:firstLine="480"/>
        <w:rPr>
          <w:color w:val="000000"/>
          <w:sz w:val="24"/>
        </w:rPr>
      </w:pPr>
      <w:r>
        <w:rPr>
          <w:rFonts w:hint="eastAsia"/>
          <w:color w:val="000000"/>
          <w:sz w:val="24"/>
        </w:rPr>
        <w:t>4</w:t>
      </w:r>
      <w:r>
        <w:rPr>
          <w:color w:val="000000"/>
          <w:sz w:val="24"/>
        </w:rPr>
        <w:t>.</w:t>
      </w:r>
      <w:r w:rsidR="008E3E10">
        <w:rPr>
          <w:rFonts w:hint="eastAsia"/>
          <w:color w:val="000000"/>
          <w:sz w:val="24"/>
        </w:rPr>
        <w:t>所引中文字体应使用</w:t>
      </w:r>
      <w:r w:rsidR="008E3E10">
        <w:rPr>
          <w:rFonts w:asciiTheme="minorEastAsia" w:hAnsiTheme="minorEastAsia" w:hint="eastAsia"/>
          <w:sz w:val="24"/>
        </w:rPr>
        <w:t>宋体，</w:t>
      </w:r>
      <w:r w:rsidR="008E3E10">
        <w:rPr>
          <w:rFonts w:hint="eastAsia"/>
          <w:color w:val="000000"/>
          <w:sz w:val="24"/>
        </w:rPr>
        <w:t>外文字体应使用“</w:t>
      </w:r>
      <w:r w:rsidR="008E3E10">
        <w:rPr>
          <w:rFonts w:ascii="Times New Roman" w:hAnsi="Times New Roman" w:cs="Times New Roman"/>
          <w:color w:val="000000"/>
          <w:sz w:val="24"/>
        </w:rPr>
        <w:t>Times New Roman</w:t>
      </w:r>
      <w:r w:rsidR="008E3E10">
        <w:rPr>
          <w:rFonts w:hint="eastAsia"/>
          <w:color w:val="000000"/>
          <w:sz w:val="24"/>
        </w:rPr>
        <w:t>”；</w:t>
      </w:r>
      <w:r w:rsidR="008E3E10">
        <w:rPr>
          <w:rFonts w:asciiTheme="minorEastAsia" w:hAnsiTheme="minorEastAsia" w:hint="eastAsia"/>
          <w:sz w:val="24"/>
        </w:rPr>
        <w:t>小五号</w:t>
      </w:r>
      <w:r w:rsidR="008E3E10">
        <w:rPr>
          <w:rFonts w:asciiTheme="minorEastAsia" w:hAnsiTheme="minorEastAsia"/>
          <w:sz w:val="24"/>
        </w:rPr>
        <w:t>，单倍行距</w:t>
      </w:r>
      <w:r w:rsidR="008E3E10">
        <w:rPr>
          <w:rFonts w:hint="eastAsia"/>
          <w:color w:val="000000"/>
          <w:sz w:val="24"/>
        </w:rPr>
        <w:t>。</w:t>
      </w:r>
    </w:p>
    <w:p w:rsidR="00D90301" w:rsidRPr="00412142" w:rsidRDefault="00412142" w:rsidP="00412142">
      <w:pPr>
        <w:widowControl/>
        <w:spacing w:line="360" w:lineRule="auto"/>
        <w:ind w:left="482"/>
        <w:rPr>
          <w:rFonts w:ascii="宋体" w:eastAsia="宋体" w:hAnsi="宋体" w:cs="宋体"/>
          <w:b/>
          <w:bCs/>
          <w:color w:val="000000"/>
          <w:sz w:val="24"/>
        </w:rPr>
      </w:pPr>
      <w:r>
        <w:rPr>
          <w:rFonts w:ascii="宋体" w:eastAsia="宋体" w:hAnsi="宋体" w:cs="宋体" w:hint="eastAsia"/>
          <w:b/>
          <w:bCs/>
          <w:color w:val="000000"/>
          <w:sz w:val="24"/>
        </w:rPr>
        <w:t>四、</w:t>
      </w:r>
      <w:bookmarkStart w:id="0" w:name="_GoBack"/>
      <w:bookmarkEnd w:id="0"/>
      <w:r w:rsidR="008E3E10" w:rsidRPr="00412142">
        <w:rPr>
          <w:rFonts w:ascii="宋体" w:eastAsia="宋体" w:hAnsi="宋体" w:cs="宋体" w:hint="eastAsia"/>
          <w:b/>
          <w:bCs/>
          <w:color w:val="000000"/>
          <w:sz w:val="24"/>
        </w:rPr>
        <w:t>注释体例</w:t>
      </w:r>
    </w:p>
    <w:p w:rsidR="00D90301" w:rsidRDefault="00C365A1" w:rsidP="00C365A1">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（一）</w:t>
      </w:r>
      <w:r w:rsidR="008E3E10">
        <w:rPr>
          <w:rFonts w:ascii="宋体" w:eastAsia="宋体" w:hAnsi="宋体" w:cs="宋体" w:hint="eastAsia"/>
          <w:b/>
          <w:bCs/>
          <w:color w:val="000000"/>
          <w:sz w:val="24"/>
        </w:rPr>
        <w:t>中文文献注释体例</w:t>
      </w:r>
    </w:p>
    <w:p w:rsidR="00D90301" w:rsidRDefault="008E3E10">
      <w:pPr>
        <w:widowControl/>
        <w:spacing w:line="360" w:lineRule="auto"/>
        <w:ind w:firstLineChars="200" w:firstLine="480"/>
        <w:rPr>
          <w:rFonts w:ascii="宋体" w:eastAsia="宋体" w:hAnsi="宋体" w:cs="宋体"/>
          <w:b/>
          <w:bCs/>
          <w:color w:val="000000"/>
          <w:sz w:val="24"/>
        </w:rPr>
      </w:pPr>
      <w:r>
        <w:rPr>
          <w:rFonts w:ascii="微软雅黑" w:eastAsia="微软雅黑" w:hAnsi="微软雅黑" w:cs="微软雅黑" w:hint="eastAsia"/>
          <w:b/>
          <w:bCs/>
          <w:color w:val="000000"/>
          <w:sz w:val="24"/>
        </w:rPr>
        <w:t xml:space="preserve">Ⅰ. </w:t>
      </w:r>
      <w:r>
        <w:rPr>
          <w:rFonts w:ascii="宋体" w:eastAsia="宋体" w:hAnsi="宋体" w:cs="宋体" w:hint="eastAsia"/>
          <w:b/>
          <w:bCs/>
          <w:color w:val="000000"/>
          <w:sz w:val="24"/>
        </w:rPr>
        <w:t>一般著作</w:t>
      </w:r>
    </w:p>
    <w:p w:rsidR="00D90301" w:rsidRDefault="008E3E10">
      <w:pPr>
        <w:spacing w:line="360" w:lineRule="auto"/>
        <w:ind w:firstLineChars="200" w:firstLine="480"/>
        <w:rPr>
          <w:color w:val="000000"/>
          <w:sz w:val="24"/>
        </w:rPr>
      </w:pPr>
      <w:r>
        <w:rPr>
          <w:rFonts w:ascii="Times New Roman" w:hAnsi="Times New Roman" w:cs="Times New Roman"/>
          <w:color w:val="000000"/>
          <w:sz w:val="24"/>
        </w:rPr>
        <w:t>1</w:t>
      </w:r>
      <w:r>
        <w:rPr>
          <w:rFonts w:ascii="Times New Roman" w:hAnsi="Times New Roman" w:cs="Times New Roman"/>
          <w:color w:val="000000"/>
          <w:sz w:val="24"/>
        </w:rPr>
        <w:t>．</w:t>
      </w:r>
      <w:r>
        <w:rPr>
          <w:rFonts w:hint="eastAsia"/>
          <w:color w:val="000000"/>
          <w:sz w:val="24"/>
        </w:rPr>
        <w:t>专著。其注释各个类项的标注次序为：著者，文献名，卷册序号，出版机构出版时间，页码。例如：</w:t>
      </w:r>
    </w:p>
    <w:p w:rsidR="00D90301" w:rsidRDefault="008E3E10">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王名扬：《美国行政法》，北京大学出版社2007年版，第34-35页。</w:t>
      </w:r>
    </w:p>
    <w:p w:rsidR="00D90301" w:rsidRDefault="008E3E10">
      <w:pPr>
        <w:spacing w:line="360" w:lineRule="auto"/>
        <w:ind w:firstLineChars="200" w:firstLine="480"/>
        <w:rPr>
          <w:color w:val="000000"/>
          <w:sz w:val="24"/>
        </w:rPr>
      </w:pPr>
      <w:r>
        <w:rPr>
          <w:rFonts w:ascii="Times New Roman" w:hAnsi="Times New Roman" w:cs="Times New Roman"/>
          <w:color w:val="000000"/>
          <w:sz w:val="24"/>
        </w:rPr>
        <w:t>2</w:t>
      </w:r>
      <w:r>
        <w:rPr>
          <w:rFonts w:ascii="Times New Roman" w:hAnsi="Times New Roman" w:cs="Times New Roman"/>
          <w:color w:val="000000"/>
          <w:sz w:val="24"/>
        </w:rPr>
        <w:t>．</w:t>
      </w:r>
      <w:r>
        <w:rPr>
          <w:color w:val="000000"/>
          <w:sz w:val="24"/>
        </w:rPr>
        <w:t>编著</w:t>
      </w:r>
      <w:r>
        <w:rPr>
          <w:rFonts w:hint="eastAsia"/>
          <w:color w:val="000000"/>
          <w:sz w:val="24"/>
        </w:rPr>
        <w:t>。应在编者姓名后加“编”或“主编”、“编著”。例如：</w:t>
      </w:r>
    </w:p>
    <w:p w:rsidR="00D90301" w:rsidRDefault="008E3E10">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马怀德主编：《司法改革与行政诉讼制度的完善》，中国政法大学出版社2004</w:t>
      </w:r>
    </w:p>
    <w:p w:rsidR="00D90301" w:rsidRDefault="008E3E10">
      <w:pPr>
        <w:spacing w:line="360" w:lineRule="auto"/>
        <w:rPr>
          <w:rFonts w:ascii="仿宋_GB2312" w:eastAsia="仿宋_GB2312"/>
          <w:color w:val="000000"/>
          <w:sz w:val="24"/>
        </w:rPr>
      </w:pPr>
      <w:r>
        <w:rPr>
          <w:rFonts w:ascii="仿宋_GB2312" w:eastAsia="仿宋_GB2312" w:hint="eastAsia"/>
          <w:color w:val="000000"/>
          <w:sz w:val="24"/>
        </w:rPr>
        <w:t>年版，第16页。</w:t>
      </w:r>
    </w:p>
    <w:p w:rsidR="00D90301" w:rsidRDefault="008E3E10">
      <w:pPr>
        <w:spacing w:line="360" w:lineRule="auto"/>
        <w:ind w:firstLineChars="200" w:firstLine="480"/>
        <w:rPr>
          <w:rFonts w:ascii="宋体" w:hAnsi="宋体"/>
          <w:color w:val="000000"/>
          <w:sz w:val="24"/>
        </w:rPr>
      </w:pPr>
      <w:r>
        <w:rPr>
          <w:rFonts w:ascii="Times New Roman" w:hAnsi="Times New Roman" w:cs="Times New Roman"/>
          <w:color w:val="000000"/>
          <w:sz w:val="24"/>
        </w:rPr>
        <w:t>3</w:t>
      </w:r>
      <w:r>
        <w:rPr>
          <w:rFonts w:ascii="Times New Roman" w:hAnsi="Times New Roman" w:cs="Times New Roman"/>
          <w:color w:val="000000"/>
          <w:sz w:val="24"/>
        </w:rPr>
        <w:t>．</w:t>
      </w:r>
      <w:r>
        <w:rPr>
          <w:rFonts w:ascii="宋体" w:hAnsi="宋体" w:hint="eastAsia"/>
          <w:color w:val="000000"/>
          <w:sz w:val="24"/>
        </w:rPr>
        <w:t>译著。在著者姓名前以“</w:t>
      </w:r>
      <w:r>
        <w:rPr>
          <w:rFonts w:ascii="宋体" w:hAnsi="宋体" w:cs="Times New Roman"/>
          <w:color w:val="000000"/>
          <w:sz w:val="24"/>
        </w:rPr>
        <w:t>[]</w:t>
      </w:r>
      <w:r>
        <w:rPr>
          <w:rFonts w:ascii="宋体" w:hAnsi="宋体" w:hint="eastAsia"/>
          <w:color w:val="000000"/>
          <w:sz w:val="24"/>
        </w:rPr>
        <w:t>”标明著者国别；在文献名之后，标明译者。例如：</w:t>
      </w:r>
    </w:p>
    <w:p w:rsidR="00D90301" w:rsidRDefault="008E3E10">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 xml:space="preserve"> [美]富勒：《法律的道德性》，郑戈译，商务印书馆2005年版，第15页。</w:t>
      </w:r>
    </w:p>
    <w:p w:rsidR="00D90301" w:rsidRDefault="008E3E10">
      <w:pPr>
        <w:spacing w:line="360" w:lineRule="auto"/>
        <w:ind w:firstLineChars="200" w:firstLine="480"/>
        <w:rPr>
          <w:rFonts w:ascii="宋体" w:hAnsi="宋体"/>
          <w:color w:val="000000"/>
          <w:sz w:val="24"/>
        </w:rPr>
      </w:pPr>
      <w:r>
        <w:rPr>
          <w:rFonts w:ascii="Times New Roman" w:hAnsi="Times New Roman" w:cs="Times New Roman"/>
          <w:color w:val="000000"/>
          <w:sz w:val="24"/>
        </w:rPr>
        <w:t>4</w:t>
      </w:r>
      <w:r>
        <w:rPr>
          <w:rFonts w:ascii="Times New Roman" w:hAnsi="Times New Roman" w:cs="Times New Roman"/>
          <w:color w:val="000000"/>
          <w:sz w:val="24"/>
        </w:rPr>
        <w:t>．</w:t>
      </w:r>
      <w:r>
        <w:rPr>
          <w:rFonts w:ascii="宋体" w:hAnsi="宋体" w:hint="eastAsia"/>
          <w:color w:val="000000"/>
          <w:sz w:val="24"/>
        </w:rPr>
        <w:t>如著者、编者为二人，两者姓名之间以顿号间隔；如为三人以上，可省略为“×××（第一责任者姓名）等（编）”。例如：</w:t>
      </w:r>
    </w:p>
    <w:p w:rsidR="00D90301" w:rsidRDefault="008E3E10">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高鸿钧等主编：《英美法原论》，北京大学出版社2013年版，第48-49页。</w:t>
      </w:r>
    </w:p>
    <w:p w:rsidR="00D90301" w:rsidRDefault="008E3E10">
      <w:pPr>
        <w:widowControl/>
        <w:spacing w:line="360" w:lineRule="auto"/>
        <w:ind w:firstLineChars="200" w:firstLine="480"/>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t>Ⅱ. 单篇文章</w:t>
      </w:r>
    </w:p>
    <w:p w:rsidR="00D90301" w:rsidRDefault="00416289" w:rsidP="00416289">
      <w:pPr>
        <w:spacing w:line="360" w:lineRule="auto"/>
        <w:ind w:firstLineChars="200" w:firstLine="480"/>
        <w:rPr>
          <w:rFonts w:ascii="Times New Roman" w:hAnsi="Times New Roman" w:cs="Times New Roman"/>
          <w:color w:val="000000"/>
          <w:sz w:val="24"/>
        </w:rPr>
      </w:pPr>
      <w:r>
        <w:rPr>
          <w:rFonts w:ascii="Times New Roman" w:hAnsi="Times New Roman" w:cs="Times New Roman" w:hint="eastAsia"/>
          <w:color w:val="000000"/>
          <w:sz w:val="24"/>
        </w:rPr>
        <w:t>1</w:t>
      </w:r>
      <w:r>
        <w:rPr>
          <w:rFonts w:ascii="Times New Roman" w:hAnsi="Times New Roman" w:cs="Times New Roman" w:hint="eastAsia"/>
          <w:color w:val="000000"/>
          <w:sz w:val="24"/>
        </w:rPr>
        <w:t>．</w:t>
      </w:r>
      <w:r w:rsidR="008E3E10">
        <w:rPr>
          <w:rFonts w:ascii="Times New Roman" w:hAnsi="Times New Roman" w:cs="Times New Roman" w:hint="eastAsia"/>
          <w:color w:val="000000"/>
          <w:sz w:val="24"/>
        </w:rPr>
        <w:t>期刊论文</w:t>
      </w:r>
    </w:p>
    <w:p w:rsidR="00D90301" w:rsidRDefault="008E3E10">
      <w:pPr>
        <w:spacing w:line="360" w:lineRule="auto"/>
        <w:ind w:firstLineChars="200" w:firstLine="480"/>
        <w:rPr>
          <w:rFonts w:ascii="Times New Roman" w:hAnsi="Times New Roman" w:cs="Times New Roman"/>
          <w:color w:val="000000"/>
          <w:sz w:val="24"/>
        </w:rPr>
      </w:pPr>
      <w:r>
        <w:rPr>
          <w:rFonts w:ascii="Times New Roman" w:hAnsi="Times New Roman" w:cs="Times New Roman"/>
          <w:color w:val="000000"/>
          <w:sz w:val="24"/>
        </w:rPr>
        <w:t>其引文注释的标注次序为：著者，文章题目（加书名号），</w:t>
      </w:r>
      <w:r>
        <w:rPr>
          <w:rFonts w:ascii="Times New Roman" w:hAnsi="Times New Roman" w:cs="Times New Roman" w:hint="eastAsia"/>
          <w:color w:val="000000"/>
          <w:sz w:val="24"/>
        </w:rPr>
        <w:t>期刊</w:t>
      </w:r>
      <w:r>
        <w:rPr>
          <w:rFonts w:ascii="Times New Roman" w:hAnsi="Times New Roman" w:cs="Times New Roman"/>
          <w:color w:val="000000"/>
          <w:sz w:val="24"/>
        </w:rPr>
        <w:t>名称，</w:t>
      </w:r>
      <w:r>
        <w:rPr>
          <w:rFonts w:ascii="Times New Roman" w:hAnsi="Times New Roman" w:cs="Times New Roman" w:hint="eastAsia"/>
          <w:color w:val="000000"/>
          <w:sz w:val="24"/>
        </w:rPr>
        <w:t>所载期号</w:t>
      </w:r>
      <w:r>
        <w:rPr>
          <w:rFonts w:ascii="Times New Roman" w:hAnsi="Times New Roman" w:cs="Times New Roman"/>
          <w:color w:val="000000"/>
          <w:sz w:val="24"/>
        </w:rPr>
        <w:t>。例如：</w:t>
      </w:r>
    </w:p>
    <w:p w:rsidR="00D90301" w:rsidRDefault="008E3E10">
      <w:pPr>
        <w:spacing w:line="360" w:lineRule="auto"/>
        <w:ind w:firstLineChars="200" w:firstLine="480"/>
        <w:rPr>
          <w:rFonts w:ascii="仿宋_GB2312" w:eastAsia="仿宋_GB2312"/>
          <w:color w:val="000000"/>
          <w:sz w:val="24"/>
        </w:rPr>
      </w:pPr>
      <w:proofErr w:type="gramStart"/>
      <w:r>
        <w:rPr>
          <w:rFonts w:ascii="仿宋_GB2312" w:eastAsia="仿宋_GB2312" w:hint="eastAsia"/>
          <w:color w:val="000000"/>
          <w:sz w:val="24"/>
        </w:rPr>
        <w:t>季卫东</w:t>
      </w:r>
      <w:proofErr w:type="gramEnd"/>
      <w:r>
        <w:rPr>
          <w:rFonts w:ascii="仿宋_GB2312" w:eastAsia="仿宋_GB2312" w:hint="eastAsia"/>
          <w:color w:val="000000"/>
          <w:sz w:val="24"/>
        </w:rPr>
        <w:t>：《法律程序的意义：对中国法制建设的另一种思考》，载《中国社会科学》1993年第1期。</w:t>
      </w:r>
    </w:p>
    <w:p w:rsidR="00D90301" w:rsidRDefault="00416289" w:rsidP="00416289">
      <w:pPr>
        <w:spacing w:line="360" w:lineRule="auto"/>
        <w:ind w:firstLineChars="200" w:firstLine="480"/>
        <w:rPr>
          <w:rFonts w:ascii="Times New Roman" w:hAnsi="Times New Roman" w:cs="Times New Roman"/>
          <w:color w:val="000000"/>
          <w:sz w:val="24"/>
        </w:rPr>
      </w:pPr>
      <w:r>
        <w:rPr>
          <w:rFonts w:ascii="Times New Roman" w:hAnsi="Times New Roman" w:cs="Times New Roman" w:hint="eastAsia"/>
          <w:color w:val="000000"/>
          <w:sz w:val="24"/>
        </w:rPr>
        <w:t>2</w:t>
      </w:r>
      <w:r>
        <w:rPr>
          <w:rFonts w:ascii="Times New Roman" w:hAnsi="Times New Roman" w:cs="Times New Roman" w:hint="eastAsia"/>
          <w:color w:val="000000"/>
          <w:sz w:val="24"/>
        </w:rPr>
        <w:t>．</w:t>
      </w:r>
      <w:r w:rsidR="008E3E10">
        <w:rPr>
          <w:rFonts w:ascii="Times New Roman" w:hAnsi="Times New Roman" w:cs="Times New Roman" w:hint="eastAsia"/>
          <w:color w:val="000000"/>
          <w:sz w:val="24"/>
        </w:rPr>
        <w:t>文集中的文章</w:t>
      </w:r>
    </w:p>
    <w:p w:rsidR="00D90301" w:rsidRDefault="008E3E10">
      <w:pPr>
        <w:spacing w:line="360" w:lineRule="auto"/>
        <w:ind w:firstLineChars="200" w:firstLine="480"/>
        <w:rPr>
          <w:color w:val="000000"/>
          <w:sz w:val="24"/>
        </w:rPr>
      </w:pPr>
      <w:r>
        <w:rPr>
          <w:rFonts w:hint="eastAsia"/>
          <w:color w:val="000000"/>
          <w:sz w:val="24"/>
        </w:rPr>
        <w:t>其引文注释的标注次序为：著者，文章题目（加书名号），文集编者名称，文集名，出版单位及版次，页码。例如：</w:t>
      </w:r>
    </w:p>
    <w:p w:rsidR="00D90301" w:rsidRDefault="008E3E10">
      <w:pPr>
        <w:spacing w:line="360" w:lineRule="auto"/>
        <w:ind w:firstLineChars="200" w:firstLine="480"/>
        <w:rPr>
          <w:rFonts w:ascii="仿宋_GB2312" w:eastAsia="仿宋_GB2312"/>
          <w:color w:val="000000"/>
          <w:sz w:val="24"/>
        </w:rPr>
      </w:pPr>
      <w:r>
        <w:rPr>
          <w:rFonts w:ascii="仿宋_GB2312" w:eastAsia="仿宋_GB2312" w:hint="eastAsia"/>
          <w:color w:val="000000"/>
          <w:sz w:val="24"/>
        </w:rPr>
        <w:lastRenderedPageBreak/>
        <w:t>王保树：《股份有限公司机关构造中的董事和董事会》，载梁</w:t>
      </w:r>
      <w:proofErr w:type="gramStart"/>
      <w:r>
        <w:rPr>
          <w:rFonts w:ascii="仿宋_GB2312" w:eastAsia="仿宋_GB2312" w:hint="eastAsia"/>
          <w:color w:val="000000"/>
          <w:sz w:val="24"/>
        </w:rPr>
        <w:t>慧星</w:t>
      </w:r>
      <w:proofErr w:type="gramEnd"/>
      <w:r>
        <w:rPr>
          <w:rFonts w:ascii="仿宋_GB2312" w:eastAsia="仿宋_GB2312" w:hint="eastAsia"/>
          <w:color w:val="000000"/>
          <w:sz w:val="24"/>
        </w:rPr>
        <w:t>主编： 《民商法论丛》第1卷，法律出版社1994年版，第110页。</w:t>
      </w:r>
    </w:p>
    <w:p w:rsidR="00D90301" w:rsidRDefault="008E3E10">
      <w:pPr>
        <w:spacing w:line="360" w:lineRule="auto"/>
        <w:ind w:firstLineChars="200" w:firstLine="480"/>
        <w:rPr>
          <w:color w:val="000000"/>
          <w:sz w:val="24"/>
        </w:rPr>
      </w:pPr>
      <w:r>
        <w:rPr>
          <w:rFonts w:ascii="Times New Roman" w:hAnsi="Times New Roman" w:cs="Times New Roman" w:hint="eastAsia"/>
          <w:color w:val="000000"/>
          <w:sz w:val="24"/>
        </w:rPr>
        <w:t>3</w:t>
      </w:r>
      <w:r>
        <w:rPr>
          <w:rFonts w:ascii="Times New Roman" w:hAnsi="Times New Roman" w:cs="Times New Roman"/>
          <w:color w:val="000000"/>
          <w:sz w:val="24"/>
        </w:rPr>
        <w:t>．</w:t>
      </w:r>
      <w:r>
        <w:rPr>
          <w:rFonts w:hint="eastAsia"/>
          <w:color w:val="000000"/>
          <w:sz w:val="24"/>
        </w:rPr>
        <w:t>报刊文章</w:t>
      </w:r>
    </w:p>
    <w:p w:rsidR="00D90301" w:rsidRDefault="008E3E10">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何海波：《判决书上网》，载《法制日报》2000年5月21日，第2版。</w:t>
      </w:r>
    </w:p>
    <w:p w:rsidR="00D90301" w:rsidRDefault="008E3E10">
      <w:pPr>
        <w:spacing w:line="360" w:lineRule="auto"/>
        <w:ind w:firstLineChars="200" w:firstLine="480"/>
        <w:rPr>
          <w:color w:val="000000"/>
          <w:sz w:val="24"/>
        </w:rPr>
      </w:pPr>
      <w:r>
        <w:rPr>
          <w:rFonts w:ascii="Times New Roman" w:hAnsi="Times New Roman" w:cs="Times New Roman" w:hint="eastAsia"/>
          <w:color w:val="000000"/>
          <w:sz w:val="24"/>
        </w:rPr>
        <w:t>4</w:t>
      </w:r>
      <w:r>
        <w:rPr>
          <w:rFonts w:ascii="Times New Roman" w:hAnsi="Times New Roman" w:cs="Times New Roman"/>
          <w:color w:val="000000"/>
          <w:sz w:val="24"/>
        </w:rPr>
        <w:t>．</w:t>
      </w:r>
      <w:r>
        <w:rPr>
          <w:rFonts w:hint="eastAsia"/>
          <w:color w:val="000000"/>
          <w:sz w:val="24"/>
        </w:rPr>
        <w:t>会议论文</w:t>
      </w:r>
    </w:p>
    <w:p w:rsidR="00D90301" w:rsidRDefault="008E3E10">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余谋昌：《公正与补偿：环境伦理与环境政治的结合点》，“环境政治学国际研讨会”论文集，山东大学，2005年6月17-19日，第9页。</w:t>
      </w:r>
    </w:p>
    <w:p w:rsidR="00D90301" w:rsidRDefault="008E3E10">
      <w:pPr>
        <w:spacing w:line="360" w:lineRule="auto"/>
        <w:ind w:firstLineChars="200" w:firstLine="480"/>
        <w:rPr>
          <w:color w:val="000000"/>
          <w:sz w:val="24"/>
        </w:rPr>
      </w:pPr>
      <w:r>
        <w:rPr>
          <w:rFonts w:ascii="Times New Roman" w:hAnsi="Times New Roman" w:cs="Times New Roman" w:hint="eastAsia"/>
          <w:color w:val="000000"/>
          <w:sz w:val="24"/>
        </w:rPr>
        <w:t>5</w:t>
      </w:r>
      <w:r>
        <w:rPr>
          <w:rFonts w:ascii="Times New Roman" w:hAnsi="Times New Roman" w:cs="Times New Roman"/>
          <w:color w:val="000000"/>
          <w:sz w:val="24"/>
        </w:rPr>
        <w:t>．</w:t>
      </w:r>
      <w:r>
        <w:rPr>
          <w:rFonts w:hint="eastAsia"/>
          <w:color w:val="000000"/>
          <w:sz w:val="24"/>
        </w:rPr>
        <w:t>学位论文</w:t>
      </w:r>
    </w:p>
    <w:p w:rsidR="00D90301" w:rsidRDefault="008E3E10">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李松锋：《游走在上帝与凯撒之间：美国宪法第一修正案中的政教关系研究》，中国政法大学 2015年博士学位论文，第56页。</w:t>
      </w:r>
    </w:p>
    <w:p w:rsidR="00D90301" w:rsidRDefault="008E3E10">
      <w:pPr>
        <w:widowControl/>
        <w:spacing w:line="360" w:lineRule="auto"/>
        <w:ind w:firstLineChars="200" w:firstLine="480"/>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t>Ⅲ. 其他</w:t>
      </w:r>
    </w:p>
    <w:p w:rsidR="00D90301" w:rsidRDefault="008E3E10">
      <w:pPr>
        <w:spacing w:line="360" w:lineRule="auto"/>
        <w:ind w:firstLineChars="200" w:firstLine="480"/>
        <w:rPr>
          <w:color w:val="000000"/>
          <w:sz w:val="24"/>
        </w:rPr>
      </w:pPr>
      <w:r>
        <w:rPr>
          <w:rFonts w:hint="eastAsia"/>
          <w:color w:val="000000"/>
          <w:sz w:val="24"/>
        </w:rPr>
        <w:t>如引用资料来自政府出版物、通讯社消息、未刊手稿、缩微胶卷等，其注释也应尽量标明编辑者、文献名、出版机构和时间、页码，或者文献性质、收藏地点、收藏编号等。如无需或不便标明著作者</w:t>
      </w:r>
      <w:r>
        <w:rPr>
          <w:rFonts w:ascii="宋体" w:hAnsi="宋体" w:hint="eastAsia"/>
          <w:color w:val="000000"/>
          <w:sz w:val="24"/>
        </w:rPr>
        <w:t>/</w:t>
      </w:r>
      <w:r>
        <w:rPr>
          <w:rFonts w:hint="eastAsia"/>
          <w:color w:val="000000"/>
          <w:sz w:val="24"/>
        </w:rPr>
        <w:t>编辑者，则标明其他类项也可。例如：</w:t>
      </w:r>
    </w:p>
    <w:p w:rsidR="00D90301" w:rsidRDefault="008E3E10">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《毛泽东著作选读》上册，人民出版社1986年版，第153页。</w:t>
      </w:r>
    </w:p>
    <w:p w:rsidR="00D90301" w:rsidRDefault="00B63774" w:rsidP="00B63774">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（二）</w:t>
      </w:r>
      <w:r w:rsidR="008E3E10">
        <w:rPr>
          <w:rFonts w:ascii="宋体" w:eastAsia="宋体" w:hAnsi="宋体" w:cs="宋体" w:hint="eastAsia"/>
          <w:b/>
          <w:bCs/>
          <w:color w:val="000000"/>
          <w:sz w:val="24"/>
        </w:rPr>
        <w:t>外文文献注释体例</w:t>
      </w:r>
    </w:p>
    <w:p w:rsidR="00D90301" w:rsidRDefault="008E3E10">
      <w:pPr>
        <w:spacing w:line="360" w:lineRule="auto"/>
        <w:ind w:firstLineChars="200" w:firstLine="480"/>
        <w:rPr>
          <w:color w:val="000000"/>
          <w:sz w:val="24"/>
        </w:rPr>
      </w:pPr>
      <w:r>
        <w:rPr>
          <w:rFonts w:hint="eastAsia"/>
          <w:color w:val="000000"/>
          <w:sz w:val="24"/>
        </w:rPr>
        <w:t>英文文献的注释体例以《法学引注手册》最新版中的相应说明和举例为准。其他外文文献如法文、德文、日文、俄文等文献的释出，依照相应文献释出的通约惯例执行。</w:t>
      </w:r>
    </w:p>
    <w:p w:rsidR="00D90301" w:rsidRDefault="00B63774" w:rsidP="00B63774">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（三）</w:t>
      </w:r>
      <w:r w:rsidR="008E3E10">
        <w:rPr>
          <w:rFonts w:ascii="宋体" w:eastAsia="宋体" w:hAnsi="宋体" w:cs="宋体" w:hint="eastAsia"/>
          <w:b/>
          <w:bCs/>
          <w:color w:val="000000"/>
          <w:sz w:val="24"/>
        </w:rPr>
        <w:t>重复引用和转引</w:t>
      </w:r>
    </w:p>
    <w:p w:rsidR="00D90301" w:rsidRDefault="008E3E10">
      <w:pPr>
        <w:spacing w:line="360" w:lineRule="auto"/>
        <w:ind w:firstLineChars="200" w:firstLine="480"/>
        <w:rPr>
          <w:color w:val="000000"/>
          <w:sz w:val="24"/>
        </w:rPr>
      </w:pPr>
      <w:r>
        <w:rPr>
          <w:rFonts w:hint="eastAsia"/>
          <w:color w:val="000000"/>
          <w:sz w:val="24"/>
        </w:rPr>
        <w:t>在同一篇文章中，如重复引用同一文献，为防止文章字数较多以及修改等原因造成误差，不论中外文，连续引用或非连续引用一律完整标注。</w:t>
      </w:r>
    </w:p>
    <w:p w:rsidR="00D90301" w:rsidRDefault="008E3E10">
      <w:pPr>
        <w:spacing w:line="360" w:lineRule="auto"/>
        <w:ind w:firstLineChars="200" w:firstLine="480"/>
        <w:rPr>
          <w:rFonts w:ascii="Times New Roman" w:eastAsia="仿宋_GB2312" w:hAnsi="Times New Roman" w:cs="Times New Roman"/>
          <w:color w:val="000000"/>
          <w:sz w:val="24"/>
        </w:rPr>
      </w:pPr>
      <w:r>
        <w:rPr>
          <w:rFonts w:hint="eastAsia"/>
          <w:color w:val="000000"/>
          <w:sz w:val="24"/>
        </w:rPr>
        <w:t>转引文献的注释体例以《法学引注手册》最新版中的相应说明和举例为准。</w:t>
      </w:r>
    </w:p>
    <w:p w:rsidR="00D90301" w:rsidRDefault="00B63774" w:rsidP="00B63774">
      <w:pPr>
        <w:widowControl/>
        <w:spacing w:line="360" w:lineRule="auto"/>
        <w:ind w:firstLineChars="200" w:firstLine="482"/>
        <w:rPr>
          <w:rFonts w:ascii="宋体" w:eastAsia="宋体" w:hAnsi="宋体" w:cs="宋体"/>
          <w:b/>
          <w:bCs/>
          <w:color w:val="000000"/>
          <w:sz w:val="24"/>
        </w:rPr>
      </w:pPr>
      <w:r>
        <w:rPr>
          <w:rFonts w:ascii="宋体" w:eastAsia="宋体" w:hAnsi="宋体" w:cs="宋体" w:hint="eastAsia"/>
          <w:b/>
          <w:bCs/>
          <w:color w:val="000000"/>
          <w:sz w:val="24"/>
        </w:rPr>
        <w:t>（四）</w:t>
      </w:r>
      <w:r w:rsidR="008E3E10">
        <w:rPr>
          <w:rFonts w:ascii="宋体" w:eastAsia="宋体" w:hAnsi="宋体" w:cs="宋体" w:hint="eastAsia"/>
          <w:b/>
          <w:bCs/>
          <w:color w:val="000000"/>
          <w:sz w:val="24"/>
        </w:rPr>
        <w:t>互联网资料</w:t>
      </w:r>
    </w:p>
    <w:p w:rsidR="00D90301" w:rsidRDefault="008E3E10">
      <w:pPr>
        <w:suppressAutoHyphens/>
        <w:spacing w:line="360" w:lineRule="auto"/>
        <w:ind w:firstLineChars="200" w:firstLine="480"/>
        <w:rPr>
          <w:color w:val="000000"/>
          <w:sz w:val="24"/>
        </w:rPr>
      </w:pPr>
      <w:proofErr w:type="gramStart"/>
      <w:r>
        <w:rPr>
          <w:rFonts w:hint="eastAsia"/>
          <w:color w:val="000000"/>
          <w:sz w:val="24"/>
        </w:rPr>
        <w:t>如实有</w:t>
      </w:r>
      <w:proofErr w:type="gramEnd"/>
      <w:r>
        <w:rPr>
          <w:rFonts w:hint="eastAsia"/>
          <w:color w:val="000000"/>
          <w:sz w:val="24"/>
        </w:rPr>
        <w:t>必要，可以使用互联网资料，注释体例以《法学引注手册》最新版中的相应说明和举例为准。</w:t>
      </w:r>
    </w:p>
    <w:p w:rsidR="00D90301" w:rsidRDefault="008E3E10">
      <w:pPr>
        <w:suppressAutoHyphens/>
        <w:spacing w:line="360" w:lineRule="auto"/>
        <w:ind w:firstLineChars="200" w:firstLine="480"/>
        <w:rPr>
          <w:rFonts w:ascii="宋体" w:eastAsia="宋体" w:hAnsi="宋体" w:cs="宋体"/>
          <w:b/>
          <w:bCs/>
          <w:sz w:val="28"/>
          <w:szCs w:val="28"/>
        </w:rPr>
      </w:pPr>
      <w:r>
        <w:rPr>
          <w:rFonts w:hint="eastAsia"/>
          <w:color w:val="000000"/>
          <w:sz w:val="24"/>
        </w:rPr>
        <w:t>关于注释体例若有未尽之处，均以《法学引注手册》最新版中的要求为准。</w:t>
      </w:r>
    </w:p>
    <w:p w:rsidR="00D90301" w:rsidRDefault="00D90301"/>
    <w:sectPr w:rsidR="00D9030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7F4" w:rsidRDefault="001547F4">
      <w:r>
        <w:separator/>
      </w:r>
    </w:p>
  </w:endnote>
  <w:endnote w:type="continuationSeparator" w:id="0">
    <w:p w:rsidR="001547F4" w:rsidRDefault="0015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modern"/>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301" w:rsidRDefault="008E3E1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90301" w:rsidRDefault="008E3E1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5</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D90301" w:rsidRDefault="008E3E1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5</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7F4" w:rsidRDefault="001547F4">
      <w:r>
        <w:separator/>
      </w:r>
    </w:p>
  </w:footnote>
  <w:footnote w:type="continuationSeparator" w:id="0">
    <w:p w:rsidR="001547F4" w:rsidRDefault="00154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3845A8"/>
    <w:multiLevelType w:val="singleLevel"/>
    <w:tmpl w:val="B63845A8"/>
    <w:lvl w:ilvl="0">
      <w:start w:val="1"/>
      <w:numFmt w:val="chineseCounting"/>
      <w:suff w:val="nothing"/>
      <w:lvlText w:val="（%1）"/>
      <w:lvlJc w:val="left"/>
      <w:rPr>
        <w:rFonts w:hint="eastAsia"/>
      </w:rPr>
    </w:lvl>
  </w:abstractNum>
  <w:abstractNum w:abstractNumId="1" w15:restartNumberingAfterBreak="0">
    <w:nsid w:val="C4A58D06"/>
    <w:multiLevelType w:val="singleLevel"/>
    <w:tmpl w:val="C4A58D06"/>
    <w:lvl w:ilvl="0">
      <w:start w:val="1"/>
      <w:numFmt w:val="decimal"/>
      <w:suff w:val="nothing"/>
      <w:lvlText w:val="%1．"/>
      <w:lvlJc w:val="left"/>
    </w:lvl>
  </w:abstractNum>
  <w:abstractNum w:abstractNumId="2" w15:restartNumberingAfterBreak="0">
    <w:nsid w:val="ED242F36"/>
    <w:multiLevelType w:val="singleLevel"/>
    <w:tmpl w:val="ED242F36"/>
    <w:lvl w:ilvl="0">
      <w:start w:val="4"/>
      <w:numFmt w:val="chineseCounting"/>
      <w:suff w:val="nothing"/>
      <w:lvlText w:val="%1、"/>
      <w:lvlJc w:val="left"/>
      <w:rPr>
        <w:rFonts w:hint="eastAsia"/>
      </w:rPr>
    </w:lvl>
  </w:abstractNum>
  <w:abstractNum w:abstractNumId="3" w15:restartNumberingAfterBreak="0">
    <w:nsid w:val="F934C98D"/>
    <w:multiLevelType w:val="singleLevel"/>
    <w:tmpl w:val="F934C98D"/>
    <w:lvl w:ilvl="0">
      <w:start w:val="1"/>
      <w:numFmt w:val="decimal"/>
      <w:lvlText w:val="%1."/>
      <w:lvlJc w:val="left"/>
      <w:pPr>
        <w:ind w:left="425" w:hanging="425"/>
      </w:pPr>
      <w:rPr>
        <w:rFonts w:hint="default"/>
      </w:rPr>
    </w:lvl>
  </w:abstractNum>
  <w:abstractNum w:abstractNumId="4" w15:restartNumberingAfterBreak="0">
    <w:nsid w:val="448572EC"/>
    <w:multiLevelType w:val="hybridMultilevel"/>
    <w:tmpl w:val="93940418"/>
    <w:lvl w:ilvl="0" w:tplc="356A7186">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69417CD2"/>
    <w:multiLevelType w:val="singleLevel"/>
    <w:tmpl w:val="69417CD2"/>
    <w:lvl w:ilvl="0">
      <w:start w:val="1"/>
      <w:numFmt w:val="decimal"/>
      <w:lvlText w:val="%1."/>
      <w:lvlJc w:val="left"/>
      <w:pPr>
        <w:tabs>
          <w:tab w:val="left" w:pos="312"/>
        </w:tabs>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8B25C3"/>
    <w:rsid w:val="001547F4"/>
    <w:rsid w:val="00412142"/>
    <w:rsid w:val="00416289"/>
    <w:rsid w:val="007C4B91"/>
    <w:rsid w:val="008E3E10"/>
    <w:rsid w:val="00B63774"/>
    <w:rsid w:val="00C365A1"/>
    <w:rsid w:val="00D90301"/>
    <w:rsid w:val="00EC13C4"/>
    <w:rsid w:val="09FC17F2"/>
    <w:rsid w:val="308B25C3"/>
    <w:rsid w:val="3C8822EC"/>
    <w:rsid w:val="595C208C"/>
    <w:rsid w:val="6ABD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3295C"/>
  <w15:docId w15:val="{28022B61-3FEF-4272-B549-931BE198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paragraph" w:styleId="a6">
    <w:name w:val="List Paragraph"/>
    <w:basedOn w:val="a"/>
    <w:uiPriority w:val="99"/>
    <w:rsid w:val="00EC13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tysfyj@bjtu.edu.cn&#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Yichun WANG</dc:creator>
  <cp:lastModifiedBy>彭彭</cp:lastModifiedBy>
  <cp:revision>7</cp:revision>
  <dcterms:created xsi:type="dcterms:W3CDTF">2022-01-12T09:33:00Z</dcterms:created>
  <dcterms:modified xsi:type="dcterms:W3CDTF">2022-01-13T06:58:00Z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919105FD16B8442E8CA78E4CF2731F4F</vt:lpwstr>
  </property>
</Properties>
</file>